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7182F" w14:textId="77777777" w:rsidR="00C10291" w:rsidRPr="00C10291" w:rsidRDefault="00C10291" w:rsidP="00C10291">
      <w:pPr>
        <w:widowControl w:val="0"/>
        <w:suppressLineNumbers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C10291">
        <w:rPr>
          <w:b/>
          <w:bCs/>
          <w:szCs w:val="24"/>
        </w:rPr>
        <w:t>BEFORE THE GEORGIA PUBLIC SERVICE COMMISSION</w:t>
      </w:r>
    </w:p>
    <w:p w14:paraId="1E377EDF" w14:textId="77777777" w:rsidR="00C10291" w:rsidRPr="00C10291" w:rsidRDefault="00C10291" w:rsidP="00C10291">
      <w:pPr>
        <w:widowControl w:val="0"/>
        <w:suppressLineNumbers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C10291">
        <w:rPr>
          <w:b/>
          <w:bCs/>
          <w:szCs w:val="24"/>
        </w:rPr>
        <w:t>STATE OF GEORGIA</w:t>
      </w:r>
    </w:p>
    <w:p w14:paraId="520AE28A" w14:textId="77777777" w:rsidR="00C10291" w:rsidRPr="00C10291" w:rsidRDefault="00C10291" w:rsidP="00C10291">
      <w:pPr>
        <w:widowControl w:val="0"/>
        <w:suppressLineNumbers/>
        <w:autoSpaceDE w:val="0"/>
        <w:autoSpaceDN w:val="0"/>
        <w:adjustRightInd w:val="0"/>
        <w:rPr>
          <w:b/>
          <w:bCs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4230"/>
      </w:tblGrid>
      <w:tr w:rsidR="00C10291" w:rsidRPr="00C10291" w14:paraId="1EB6247F" w14:textId="77777777" w:rsidTr="00C10291">
        <w:trPr>
          <w:trHeight w:val="477"/>
        </w:trPr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1A473" w14:textId="77777777" w:rsidR="00C10291" w:rsidRPr="00C10291" w:rsidRDefault="00C10291" w:rsidP="00C102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SimSun"/>
                <w:b/>
                <w:bCs/>
                <w:szCs w:val="24"/>
              </w:rPr>
            </w:pPr>
          </w:p>
          <w:p w14:paraId="022E7ADD" w14:textId="77777777" w:rsidR="00C10291" w:rsidRPr="00C10291" w:rsidRDefault="00C10291" w:rsidP="00C102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SimSun"/>
                <w:b/>
                <w:bCs/>
                <w:szCs w:val="24"/>
              </w:rPr>
            </w:pPr>
            <w:r w:rsidRPr="00C10291">
              <w:rPr>
                <w:rFonts w:eastAsia="SimSun"/>
                <w:b/>
                <w:bCs/>
                <w:szCs w:val="24"/>
              </w:rPr>
              <w:t>IN RE:</w:t>
            </w:r>
          </w:p>
          <w:p w14:paraId="4C2C34C5" w14:textId="77777777" w:rsidR="00C10291" w:rsidRPr="00C10291" w:rsidRDefault="00C10291" w:rsidP="00C102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SimSun"/>
                <w:b/>
                <w:bCs/>
                <w:szCs w:val="24"/>
              </w:rPr>
            </w:pPr>
          </w:p>
          <w:p w14:paraId="56F14428" w14:textId="4770DB60" w:rsidR="00C10291" w:rsidRPr="00C10291" w:rsidRDefault="00C10291" w:rsidP="00C102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SimSun"/>
                <w:b/>
                <w:bCs/>
                <w:szCs w:val="24"/>
              </w:rPr>
            </w:pPr>
            <w:r w:rsidRPr="00C10291">
              <w:rPr>
                <w:rFonts w:eastAsia="SimSun"/>
                <w:b/>
                <w:bCs/>
                <w:szCs w:val="24"/>
              </w:rPr>
              <w:t>ATLANTA GAS LIGHT COMPANY’S 202</w:t>
            </w:r>
            <w:r w:rsidR="00414F77">
              <w:rPr>
                <w:rFonts w:eastAsia="SimSun"/>
                <w:b/>
                <w:bCs/>
                <w:szCs w:val="24"/>
              </w:rPr>
              <w:t>5</w:t>
            </w:r>
            <w:r w:rsidRPr="00C10291">
              <w:rPr>
                <w:rFonts w:eastAsia="SimSun"/>
                <w:b/>
                <w:bCs/>
                <w:szCs w:val="24"/>
              </w:rPr>
              <w:t>-202</w:t>
            </w:r>
            <w:r w:rsidR="00414F77">
              <w:rPr>
                <w:rFonts w:eastAsia="SimSun"/>
                <w:b/>
                <w:bCs/>
                <w:szCs w:val="24"/>
              </w:rPr>
              <w:t>8</w:t>
            </w:r>
            <w:r w:rsidRPr="00C10291">
              <w:rPr>
                <w:rFonts w:eastAsia="SimSun"/>
                <w:b/>
                <w:bCs/>
                <w:szCs w:val="24"/>
              </w:rPr>
              <w:t xml:space="preserve"> CAPACITY SUPPLY PLAN</w:t>
            </w:r>
          </w:p>
          <w:p w14:paraId="00D0942B" w14:textId="77777777" w:rsidR="00C10291" w:rsidRPr="00C10291" w:rsidRDefault="00C10291" w:rsidP="00C102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SimSun"/>
                <w:b/>
                <w:bCs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0DCBB" w14:textId="77777777" w:rsidR="00C10291" w:rsidRPr="00C10291" w:rsidRDefault="00C10291" w:rsidP="00C10291">
            <w:pPr>
              <w:widowControl w:val="0"/>
              <w:suppressAutoHyphens/>
              <w:autoSpaceDE w:val="0"/>
              <w:autoSpaceDN w:val="0"/>
              <w:adjustRightInd w:val="0"/>
              <w:ind w:left="899"/>
              <w:rPr>
                <w:rFonts w:eastAsia="SimSun"/>
                <w:szCs w:val="24"/>
              </w:rPr>
            </w:pPr>
          </w:p>
          <w:p w14:paraId="53B0EB18" w14:textId="77777777" w:rsidR="00C10291" w:rsidRPr="00C10291" w:rsidRDefault="00C10291" w:rsidP="00C10291">
            <w:pPr>
              <w:widowControl w:val="0"/>
              <w:suppressAutoHyphens/>
              <w:autoSpaceDE w:val="0"/>
              <w:autoSpaceDN w:val="0"/>
              <w:adjustRightInd w:val="0"/>
              <w:ind w:left="899"/>
              <w:rPr>
                <w:rFonts w:eastAsia="SimSun"/>
                <w:b/>
                <w:bCs/>
                <w:szCs w:val="24"/>
              </w:rPr>
            </w:pPr>
          </w:p>
          <w:p w14:paraId="4537D202" w14:textId="07DDA964" w:rsidR="00C10291" w:rsidRPr="00C10291" w:rsidRDefault="00C10291" w:rsidP="00C10291">
            <w:pPr>
              <w:widowControl w:val="0"/>
              <w:suppressAutoHyphens/>
              <w:autoSpaceDE w:val="0"/>
              <w:autoSpaceDN w:val="0"/>
              <w:adjustRightInd w:val="0"/>
              <w:ind w:left="899"/>
              <w:rPr>
                <w:rFonts w:eastAsia="SimSun"/>
                <w:b/>
                <w:bCs/>
                <w:szCs w:val="24"/>
              </w:rPr>
            </w:pPr>
            <w:r w:rsidRPr="00C10291">
              <w:rPr>
                <w:rFonts w:eastAsia="SimSun"/>
                <w:b/>
                <w:bCs/>
                <w:szCs w:val="24"/>
              </w:rPr>
              <w:t xml:space="preserve">Docket No. </w:t>
            </w:r>
            <w:r w:rsidR="00414F77">
              <w:rPr>
                <w:rFonts w:eastAsia="SimSun"/>
                <w:b/>
                <w:bCs/>
                <w:szCs w:val="24"/>
              </w:rPr>
              <w:t>56177</w:t>
            </w:r>
          </w:p>
          <w:p w14:paraId="09806BD9" w14:textId="77777777" w:rsidR="00C10291" w:rsidRPr="00C10291" w:rsidRDefault="00C10291" w:rsidP="00C102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SimSun"/>
                <w:szCs w:val="24"/>
              </w:rPr>
            </w:pPr>
          </w:p>
        </w:tc>
      </w:tr>
    </w:tbl>
    <w:p w14:paraId="4CA2EC9C" w14:textId="77777777" w:rsidR="009C466A" w:rsidRPr="009C466A" w:rsidRDefault="009C466A" w:rsidP="009C466A">
      <w:pPr>
        <w:widowControl w:val="0"/>
        <w:kinsoku w:val="0"/>
        <w:overflowPunct w:val="0"/>
        <w:autoSpaceDE w:val="0"/>
        <w:autoSpaceDN w:val="0"/>
        <w:adjustRightInd w:val="0"/>
        <w:spacing w:before="10"/>
        <w:rPr>
          <w:sz w:val="17"/>
          <w:szCs w:val="17"/>
        </w:rPr>
      </w:pPr>
    </w:p>
    <w:p w14:paraId="215BF9A9" w14:textId="77777777" w:rsidR="009C466A" w:rsidRPr="009C466A" w:rsidRDefault="009C466A" w:rsidP="009C466A">
      <w:pPr>
        <w:widowControl w:val="0"/>
        <w:kinsoku w:val="0"/>
        <w:overflowPunct w:val="0"/>
        <w:autoSpaceDE w:val="0"/>
        <w:autoSpaceDN w:val="0"/>
        <w:adjustRightInd w:val="0"/>
        <w:rPr>
          <w:sz w:val="17"/>
          <w:szCs w:val="17"/>
        </w:rPr>
      </w:pPr>
      <w:r w:rsidRPr="009C466A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6640981" wp14:editId="709403C9">
                <wp:simplePos x="0" y="0"/>
                <wp:positionH relativeFrom="page">
                  <wp:posOffset>2540</wp:posOffset>
                </wp:positionH>
                <wp:positionV relativeFrom="page">
                  <wp:posOffset>36195</wp:posOffset>
                </wp:positionV>
                <wp:extent cx="12700" cy="9967595"/>
                <wp:effectExtent l="12065" t="7620" r="0" b="6985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9967595"/>
                        </a:xfrm>
                        <a:custGeom>
                          <a:avLst/>
                          <a:gdLst>
                            <a:gd name="T0" fmla="*/ 0 w 20"/>
                            <a:gd name="T1" fmla="*/ 15696 h 15697"/>
                            <a:gd name="T2" fmla="*/ 0 w 20"/>
                            <a:gd name="T3" fmla="*/ 0 h 156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15697">
                              <a:moveTo>
                                <a:pt x="0" y="1569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097">
                          <a:solidFill>
                            <a:srgbClr val="A8A8A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A14E016" id="Freeform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.2pt,787.65pt,.2pt,2.85pt" coordsize="20,15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" o:allowincell="f" filled="f" strokecolor="#a8a8a8" strokeweight=".25269mm">
                <v:path arrowok="t" o:connecttype="custom" o:connectlocs="0,9966960;0,0" o:connectangles="0,0"/>
                <w10:wrap anchorx="page" anchory="page"/>
              </v:polyline>
            </w:pict>
          </mc:Fallback>
        </mc:AlternateContent>
      </w:r>
    </w:p>
    <w:p w14:paraId="60858BD4" w14:textId="77777777" w:rsidR="00857A65" w:rsidRPr="00CF279F" w:rsidRDefault="00857A65" w:rsidP="00857A65">
      <w:pPr>
        <w:jc w:val="center"/>
        <w:rPr>
          <w:b/>
          <w:szCs w:val="24"/>
        </w:rPr>
      </w:pPr>
      <w:r w:rsidRPr="00CF279F">
        <w:rPr>
          <w:b/>
          <w:szCs w:val="24"/>
        </w:rPr>
        <w:t>TRADE SECRET FILING OF</w:t>
      </w:r>
    </w:p>
    <w:p w14:paraId="7E523022" w14:textId="77777777" w:rsidR="00857A65" w:rsidRPr="00CF279F" w:rsidRDefault="009E20F9" w:rsidP="00C67FBD">
      <w:pPr>
        <w:spacing w:after="120"/>
        <w:jc w:val="center"/>
        <w:rPr>
          <w:b/>
          <w:szCs w:val="24"/>
        </w:rPr>
      </w:pPr>
      <w:r>
        <w:rPr>
          <w:b/>
          <w:szCs w:val="24"/>
          <w:u w:val="single"/>
        </w:rPr>
        <w:t>ATLANTA GAS LIGHT COMPANY</w:t>
      </w:r>
    </w:p>
    <w:p w14:paraId="320D8CAD" w14:textId="47079C0D" w:rsidR="00857A65" w:rsidRPr="00CF279F" w:rsidRDefault="00004ABD" w:rsidP="00CF279F">
      <w:pPr>
        <w:spacing w:line="480" w:lineRule="auto"/>
        <w:ind w:firstLine="720"/>
        <w:jc w:val="both"/>
        <w:rPr>
          <w:szCs w:val="24"/>
        </w:rPr>
      </w:pPr>
      <w:r w:rsidRPr="00004ABD">
        <w:rPr>
          <w:szCs w:val="24"/>
        </w:rPr>
        <w:t>Atlanta Gas Light Company (“AGL”</w:t>
      </w:r>
      <w:r>
        <w:rPr>
          <w:szCs w:val="24"/>
        </w:rPr>
        <w:t xml:space="preserve"> or the “Company</w:t>
      </w:r>
      <w:r w:rsidRPr="00004ABD">
        <w:rPr>
          <w:szCs w:val="24"/>
        </w:rPr>
        <w:t>), this day, submitted to the Georgia Public Service Commission (the “Commission”)</w:t>
      </w:r>
      <w:r>
        <w:rPr>
          <w:szCs w:val="24"/>
        </w:rPr>
        <w:t xml:space="preserve"> </w:t>
      </w:r>
      <w:r w:rsidR="00D4576E" w:rsidRPr="00CF279F">
        <w:rPr>
          <w:szCs w:val="24"/>
        </w:rPr>
        <w:t xml:space="preserve">the Company’s </w:t>
      </w:r>
      <w:r w:rsidR="009C466A">
        <w:rPr>
          <w:szCs w:val="24"/>
        </w:rPr>
        <w:t>202</w:t>
      </w:r>
      <w:r w:rsidR="00414F77">
        <w:rPr>
          <w:szCs w:val="24"/>
        </w:rPr>
        <w:t>5</w:t>
      </w:r>
      <w:r w:rsidR="009C466A">
        <w:rPr>
          <w:szCs w:val="24"/>
        </w:rPr>
        <w:t>-20</w:t>
      </w:r>
      <w:r w:rsidR="00414F77">
        <w:rPr>
          <w:szCs w:val="24"/>
        </w:rPr>
        <w:t>28</w:t>
      </w:r>
      <w:r w:rsidR="005D70CC" w:rsidRPr="00CF279F">
        <w:rPr>
          <w:szCs w:val="24"/>
        </w:rPr>
        <w:t xml:space="preserve"> </w:t>
      </w:r>
      <w:r w:rsidR="009E20F9">
        <w:rPr>
          <w:szCs w:val="24"/>
        </w:rPr>
        <w:t>Capacity</w:t>
      </w:r>
      <w:r w:rsidR="00D4576E" w:rsidRPr="00CF279F">
        <w:rPr>
          <w:szCs w:val="24"/>
        </w:rPr>
        <w:t xml:space="preserve"> </w:t>
      </w:r>
      <w:r w:rsidR="00D4576E" w:rsidRPr="00E37310">
        <w:rPr>
          <w:szCs w:val="24"/>
        </w:rPr>
        <w:t>Supply Plan</w:t>
      </w:r>
      <w:r w:rsidR="007C2A4D" w:rsidRPr="00E37310">
        <w:rPr>
          <w:szCs w:val="24"/>
        </w:rPr>
        <w:t xml:space="preserve"> (“</w:t>
      </w:r>
      <w:r w:rsidR="00DD1398" w:rsidRPr="00E37310">
        <w:rPr>
          <w:szCs w:val="24"/>
        </w:rPr>
        <w:t>CSP</w:t>
      </w:r>
      <w:r w:rsidR="007C2A4D" w:rsidRPr="00E37310">
        <w:rPr>
          <w:szCs w:val="24"/>
        </w:rPr>
        <w:t>”)</w:t>
      </w:r>
      <w:r w:rsidR="00D4576E" w:rsidRPr="00E37310">
        <w:rPr>
          <w:szCs w:val="24"/>
        </w:rPr>
        <w:t xml:space="preserve">, which includes </w:t>
      </w:r>
      <w:r w:rsidRPr="00E37310">
        <w:rPr>
          <w:szCs w:val="24"/>
        </w:rPr>
        <w:t>a</w:t>
      </w:r>
      <w:r w:rsidR="00096B38" w:rsidRPr="00E37310">
        <w:rPr>
          <w:szCs w:val="24"/>
        </w:rPr>
        <w:t xml:space="preserve"> P</w:t>
      </w:r>
      <w:r w:rsidR="009C466A" w:rsidRPr="00E37310">
        <w:rPr>
          <w:szCs w:val="24"/>
        </w:rPr>
        <w:t>etition for Approval of the 202</w:t>
      </w:r>
      <w:r w:rsidR="00414F77" w:rsidRPr="00E37310">
        <w:rPr>
          <w:szCs w:val="24"/>
        </w:rPr>
        <w:t>5</w:t>
      </w:r>
      <w:r w:rsidR="009C466A" w:rsidRPr="00E37310">
        <w:rPr>
          <w:szCs w:val="24"/>
        </w:rPr>
        <w:t>-202</w:t>
      </w:r>
      <w:r w:rsidR="00414F77" w:rsidRPr="00E37310">
        <w:rPr>
          <w:szCs w:val="24"/>
        </w:rPr>
        <w:t>8</w:t>
      </w:r>
      <w:r w:rsidR="00096B38" w:rsidRPr="00E37310">
        <w:rPr>
          <w:szCs w:val="24"/>
        </w:rPr>
        <w:t xml:space="preserve"> Capacity Supply Plan</w:t>
      </w:r>
      <w:r w:rsidRPr="00E37310">
        <w:rPr>
          <w:szCs w:val="24"/>
        </w:rPr>
        <w:t>,</w:t>
      </w:r>
      <w:r w:rsidR="00096B38" w:rsidRPr="00E37310">
        <w:rPr>
          <w:szCs w:val="24"/>
        </w:rPr>
        <w:t xml:space="preserve"> the</w:t>
      </w:r>
      <w:r w:rsidR="005319DA" w:rsidRPr="00E37310">
        <w:rPr>
          <w:szCs w:val="24"/>
        </w:rPr>
        <w:t xml:space="preserve"> </w:t>
      </w:r>
      <w:r w:rsidRPr="00E37310">
        <w:rPr>
          <w:szCs w:val="24"/>
        </w:rPr>
        <w:t>Pre-Filed Direct T</w:t>
      </w:r>
      <w:r w:rsidR="00EC44FE" w:rsidRPr="00E37310">
        <w:rPr>
          <w:szCs w:val="24"/>
        </w:rPr>
        <w:t>estimon</w:t>
      </w:r>
      <w:r w:rsidR="009E20F9" w:rsidRPr="00E37310">
        <w:rPr>
          <w:szCs w:val="24"/>
        </w:rPr>
        <w:t>y</w:t>
      </w:r>
      <w:r w:rsidR="00EC44FE" w:rsidRPr="00E37310">
        <w:rPr>
          <w:szCs w:val="24"/>
        </w:rPr>
        <w:t xml:space="preserve"> </w:t>
      </w:r>
      <w:r w:rsidR="00D4576E" w:rsidRPr="00E37310">
        <w:rPr>
          <w:szCs w:val="24"/>
        </w:rPr>
        <w:t xml:space="preserve">of </w:t>
      </w:r>
      <w:r w:rsidR="009E20F9" w:rsidRPr="00E37310">
        <w:rPr>
          <w:szCs w:val="24"/>
        </w:rPr>
        <w:t>Gregory Becker</w:t>
      </w:r>
      <w:r w:rsidR="007F6D93" w:rsidRPr="00E37310">
        <w:rPr>
          <w:szCs w:val="24"/>
        </w:rPr>
        <w:t xml:space="preserve">, </w:t>
      </w:r>
      <w:r w:rsidRPr="00E37310">
        <w:rPr>
          <w:szCs w:val="24"/>
        </w:rPr>
        <w:t>and</w:t>
      </w:r>
      <w:r w:rsidR="007F6D93" w:rsidRPr="00E37310">
        <w:rPr>
          <w:szCs w:val="24"/>
        </w:rPr>
        <w:t xml:space="preserve"> the exhibits </w:t>
      </w:r>
      <w:r w:rsidR="00EC44FE" w:rsidRPr="00E37310">
        <w:rPr>
          <w:szCs w:val="24"/>
        </w:rPr>
        <w:t>(</w:t>
      </w:r>
      <w:r w:rsidR="00DD1398" w:rsidRPr="00E37310">
        <w:rPr>
          <w:szCs w:val="24"/>
        </w:rPr>
        <w:t xml:space="preserve">including the Minimum Filing Requirements, collectively the </w:t>
      </w:r>
      <w:r w:rsidR="00EC44FE" w:rsidRPr="00E37310">
        <w:rPr>
          <w:szCs w:val="24"/>
        </w:rPr>
        <w:t xml:space="preserve">“Exhibits”) </w:t>
      </w:r>
      <w:r w:rsidR="007C2A4D" w:rsidRPr="00E37310">
        <w:rPr>
          <w:szCs w:val="24"/>
        </w:rPr>
        <w:t>that</w:t>
      </w:r>
      <w:r w:rsidR="009C466A" w:rsidRPr="00E37310">
        <w:rPr>
          <w:szCs w:val="24"/>
        </w:rPr>
        <w:t xml:space="preserve"> the witness</w:t>
      </w:r>
      <w:r w:rsidR="007F6D93" w:rsidRPr="00E37310">
        <w:rPr>
          <w:szCs w:val="24"/>
        </w:rPr>
        <w:t xml:space="preserve"> sponsor</w:t>
      </w:r>
      <w:r w:rsidR="009C466A" w:rsidRPr="00E37310">
        <w:rPr>
          <w:szCs w:val="24"/>
        </w:rPr>
        <w:t>s</w:t>
      </w:r>
      <w:r w:rsidR="007F6D93" w:rsidRPr="00E37310">
        <w:rPr>
          <w:szCs w:val="24"/>
        </w:rPr>
        <w:t xml:space="preserve"> as part of </w:t>
      </w:r>
      <w:r w:rsidR="005319DA" w:rsidRPr="00E37310">
        <w:rPr>
          <w:szCs w:val="24"/>
        </w:rPr>
        <w:t>the Company</w:t>
      </w:r>
      <w:r w:rsidR="00EC44FE" w:rsidRPr="00E37310">
        <w:rPr>
          <w:szCs w:val="24"/>
        </w:rPr>
        <w:t>’s</w:t>
      </w:r>
      <w:r w:rsidR="007F6D93" w:rsidRPr="00E37310">
        <w:rPr>
          <w:szCs w:val="24"/>
        </w:rPr>
        <w:t xml:space="preserve"> </w:t>
      </w:r>
      <w:r w:rsidR="00DD1398" w:rsidRPr="00E37310">
        <w:rPr>
          <w:szCs w:val="24"/>
        </w:rPr>
        <w:t>CSP</w:t>
      </w:r>
      <w:r w:rsidR="0020785C" w:rsidRPr="00E37310">
        <w:rPr>
          <w:szCs w:val="24"/>
        </w:rPr>
        <w:t>.</w:t>
      </w:r>
      <w:r w:rsidR="00857A65" w:rsidRPr="00E37310">
        <w:rPr>
          <w:szCs w:val="24"/>
        </w:rPr>
        <w:t xml:space="preserve"> </w:t>
      </w:r>
      <w:r w:rsidR="00D9330E" w:rsidRPr="00E37310">
        <w:rPr>
          <w:szCs w:val="24"/>
        </w:rPr>
        <w:t xml:space="preserve">The </w:t>
      </w:r>
      <w:r w:rsidR="00DD1398" w:rsidRPr="00E37310">
        <w:rPr>
          <w:szCs w:val="24"/>
        </w:rPr>
        <w:t>CSP</w:t>
      </w:r>
      <w:r w:rsidR="0020785C" w:rsidRPr="00E37310">
        <w:rPr>
          <w:szCs w:val="24"/>
        </w:rPr>
        <w:t xml:space="preserve"> </w:t>
      </w:r>
      <w:r w:rsidR="00857A65" w:rsidRPr="00E37310">
        <w:rPr>
          <w:szCs w:val="24"/>
        </w:rPr>
        <w:t>contain</w:t>
      </w:r>
      <w:r w:rsidR="00D9330E" w:rsidRPr="00E37310">
        <w:rPr>
          <w:szCs w:val="24"/>
        </w:rPr>
        <w:t>s</w:t>
      </w:r>
      <w:r w:rsidR="00857A65" w:rsidRPr="00E37310">
        <w:rPr>
          <w:szCs w:val="24"/>
        </w:rPr>
        <w:t xml:space="preserve"> materials that</w:t>
      </w:r>
      <w:r w:rsidR="00857A65" w:rsidRPr="00CF279F">
        <w:rPr>
          <w:szCs w:val="24"/>
        </w:rPr>
        <w:t xml:space="preserve"> are of a proprietary</w:t>
      </w:r>
      <w:r w:rsidR="00D40AC4" w:rsidRPr="00CF279F">
        <w:rPr>
          <w:szCs w:val="24"/>
        </w:rPr>
        <w:t xml:space="preserve"> and trade secret nature. </w:t>
      </w:r>
      <w:r w:rsidR="00F71A0A" w:rsidRPr="00CF279F">
        <w:rPr>
          <w:szCs w:val="24"/>
        </w:rPr>
        <w:t xml:space="preserve">The information derives economic value to the Company and to the Company’s customers from not being generally known to others.  </w:t>
      </w:r>
      <w:r w:rsidR="00F71A0A">
        <w:rPr>
          <w:szCs w:val="24"/>
        </w:rPr>
        <w:t>AGL</w:t>
      </w:r>
      <w:r w:rsidR="00F71A0A" w:rsidRPr="00CF279F">
        <w:rPr>
          <w:szCs w:val="24"/>
        </w:rPr>
        <w:t xml:space="preserve"> submits </w:t>
      </w:r>
      <w:r w:rsidR="00F71A0A">
        <w:rPr>
          <w:szCs w:val="24"/>
        </w:rPr>
        <w:t xml:space="preserve">that </w:t>
      </w:r>
      <w:r w:rsidR="00F71A0A" w:rsidRPr="00CF279F">
        <w:rPr>
          <w:szCs w:val="24"/>
        </w:rPr>
        <w:t xml:space="preserve">the data and information are highly confidential and competitively sensitive. </w:t>
      </w:r>
      <w:r w:rsidRPr="00004ABD">
        <w:rPr>
          <w:szCs w:val="24"/>
        </w:rPr>
        <w:t>Accordingly, AGL protects against disclosure of this info</w:t>
      </w:r>
      <w:r>
        <w:rPr>
          <w:szCs w:val="24"/>
        </w:rPr>
        <w:t>rmation under Commission</w:t>
      </w:r>
      <w:r w:rsidR="00857A65" w:rsidRPr="00CF279F">
        <w:rPr>
          <w:szCs w:val="24"/>
        </w:rPr>
        <w:t xml:space="preserve"> Rule 515-3-1-.11 </w:t>
      </w:r>
      <w:r>
        <w:rPr>
          <w:szCs w:val="24"/>
        </w:rPr>
        <w:t>and</w:t>
      </w:r>
      <w:r w:rsidR="005D70CC">
        <w:t xml:space="preserve"> O.C.G.A. § 50-18-72(a)(34)</w:t>
      </w:r>
      <w:r w:rsidR="00857A65" w:rsidRPr="00CF279F">
        <w:rPr>
          <w:szCs w:val="24"/>
        </w:rPr>
        <w:t>.</w:t>
      </w:r>
      <w:r w:rsidR="005D70CC">
        <w:rPr>
          <w:szCs w:val="24"/>
        </w:rPr>
        <w:t xml:space="preserve">  </w:t>
      </w:r>
    </w:p>
    <w:p w14:paraId="4CDA9A4B" w14:textId="1EA9CAAC" w:rsidR="00857A65" w:rsidRPr="00CF279F" w:rsidRDefault="00857A65" w:rsidP="00CF279F">
      <w:pPr>
        <w:spacing w:line="480" w:lineRule="auto"/>
        <w:jc w:val="both"/>
        <w:rPr>
          <w:szCs w:val="24"/>
        </w:rPr>
      </w:pPr>
      <w:r w:rsidRPr="00CF279F">
        <w:rPr>
          <w:szCs w:val="24"/>
        </w:rPr>
        <w:tab/>
      </w:r>
      <w:r w:rsidR="00096B38">
        <w:rPr>
          <w:szCs w:val="24"/>
        </w:rPr>
        <w:t>Under</w:t>
      </w:r>
      <w:r w:rsidRPr="00CF279F">
        <w:rPr>
          <w:szCs w:val="24"/>
        </w:rPr>
        <w:t xml:space="preserve"> the terms of Commission Rule 515-3-1-.11</w:t>
      </w:r>
      <w:r w:rsidR="005D70CC">
        <w:rPr>
          <w:szCs w:val="24"/>
        </w:rPr>
        <w:t xml:space="preserve"> and </w:t>
      </w:r>
      <w:r w:rsidR="005D70CC">
        <w:t>O.C.G.A. § 50-18-72(a)(34)</w:t>
      </w:r>
      <w:r w:rsidRPr="00CF279F">
        <w:rPr>
          <w:szCs w:val="24"/>
        </w:rPr>
        <w:t xml:space="preserve">, </w:t>
      </w:r>
      <w:r w:rsidR="009E20F9">
        <w:rPr>
          <w:szCs w:val="24"/>
        </w:rPr>
        <w:t>AGL</w:t>
      </w:r>
      <w:r w:rsidRPr="00CF279F">
        <w:rPr>
          <w:szCs w:val="24"/>
        </w:rPr>
        <w:t xml:space="preserve"> is providing</w:t>
      </w:r>
      <w:r w:rsidR="00004ABD">
        <w:rPr>
          <w:szCs w:val="24"/>
        </w:rPr>
        <w:t xml:space="preserve"> this trade secret</w:t>
      </w:r>
      <w:r w:rsidRPr="00CF279F">
        <w:rPr>
          <w:szCs w:val="24"/>
        </w:rPr>
        <w:t xml:space="preserve"> in</w:t>
      </w:r>
      <w:r w:rsidR="00004ABD">
        <w:rPr>
          <w:szCs w:val="24"/>
        </w:rPr>
        <w:t>formation under protective seal</w:t>
      </w:r>
      <w:r w:rsidR="005D70CC">
        <w:rPr>
          <w:szCs w:val="24"/>
        </w:rPr>
        <w:t xml:space="preserve"> </w:t>
      </w:r>
      <w:r w:rsidR="005D70CC">
        <w:t>and is providing this “public disclosure document.”</w:t>
      </w:r>
      <w:r w:rsidRPr="00CF279F">
        <w:rPr>
          <w:szCs w:val="24"/>
        </w:rPr>
        <w:t xml:space="preserve"> </w:t>
      </w:r>
      <w:r w:rsidR="005D70CC">
        <w:t>All documents provided are trade secret under Georgia law and the Commission Rules</w:t>
      </w:r>
      <w:r w:rsidR="00414F77">
        <w:t xml:space="preserve"> </w:t>
      </w:r>
      <w:r w:rsidR="005D70CC">
        <w:t xml:space="preserve">and are subject to the Affidavit of </w:t>
      </w:r>
      <w:r w:rsidR="00D84496">
        <w:t>Emma Cramer</w:t>
      </w:r>
      <w:r w:rsidR="005D70CC">
        <w:t xml:space="preserve"> filed simultaneously herewith.  </w:t>
      </w:r>
      <w:r w:rsidRPr="00CF279F">
        <w:rPr>
          <w:szCs w:val="24"/>
        </w:rPr>
        <w:t xml:space="preserve"> </w:t>
      </w:r>
      <w:r w:rsidR="00096B38">
        <w:rPr>
          <w:szCs w:val="24"/>
        </w:rPr>
        <w:t>The</w:t>
      </w:r>
      <w:r w:rsidRPr="00CF279F">
        <w:rPr>
          <w:szCs w:val="24"/>
        </w:rPr>
        <w:t xml:space="preserve"> Company is maintaining a master list of these</w:t>
      </w:r>
      <w:r w:rsidR="00096B38">
        <w:rPr>
          <w:szCs w:val="24"/>
        </w:rPr>
        <w:t xml:space="preserve"> trade secret</w:t>
      </w:r>
      <w:r w:rsidRPr="00CF279F">
        <w:rPr>
          <w:szCs w:val="24"/>
        </w:rPr>
        <w:t xml:space="preserve"> documents.</w:t>
      </w:r>
      <w:r w:rsidR="00142BE0" w:rsidRPr="00CF279F">
        <w:rPr>
          <w:szCs w:val="24"/>
        </w:rPr>
        <w:t xml:space="preserve">  </w:t>
      </w:r>
    </w:p>
    <w:p w14:paraId="795E1A17" w14:textId="1F609DD9" w:rsidR="00857A65" w:rsidRDefault="00857A65" w:rsidP="00CF279F">
      <w:pPr>
        <w:spacing w:line="480" w:lineRule="auto"/>
        <w:rPr>
          <w:szCs w:val="24"/>
        </w:rPr>
      </w:pPr>
      <w:r w:rsidRPr="00CF279F">
        <w:rPr>
          <w:szCs w:val="24"/>
        </w:rPr>
        <w:lastRenderedPageBreak/>
        <w:tab/>
      </w:r>
      <w:r w:rsidR="004A33EC" w:rsidRPr="00CF279F">
        <w:rPr>
          <w:szCs w:val="24"/>
        </w:rPr>
        <w:t>Respectfully submitted t</w:t>
      </w:r>
      <w:r w:rsidRPr="00CF279F">
        <w:rPr>
          <w:szCs w:val="24"/>
        </w:rPr>
        <w:t xml:space="preserve">his </w:t>
      </w:r>
      <w:r w:rsidR="00E45303" w:rsidRPr="00CF279F">
        <w:rPr>
          <w:szCs w:val="24"/>
        </w:rPr>
        <w:t>1</w:t>
      </w:r>
      <w:r w:rsidR="00E45303" w:rsidRPr="00CF279F">
        <w:rPr>
          <w:szCs w:val="24"/>
          <w:vertAlign w:val="superscript"/>
        </w:rPr>
        <w:t>st</w:t>
      </w:r>
      <w:r w:rsidR="00E45303" w:rsidRPr="00CF279F">
        <w:rPr>
          <w:szCs w:val="24"/>
        </w:rPr>
        <w:t xml:space="preserve"> </w:t>
      </w:r>
      <w:r w:rsidRPr="00CF279F">
        <w:rPr>
          <w:szCs w:val="24"/>
        </w:rPr>
        <w:t>day of Ju</w:t>
      </w:r>
      <w:r w:rsidR="0020785C" w:rsidRPr="00CF279F">
        <w:rPr>
          <w:szCs w:val="24"/>
        </w:rPr>
        <w:t>ly</w:t>
      </w:r>
      <w:r w:rsidRPr="00CF279F">
        <w:rPr>
          <w:szCs w:val="24"/>
        </w:rPr>
        <w:t xml:space="preserve"> 20</w:t>
      </w:r>
      <w:r w:rsidR="009C466A">
        <w:rPr>
          <w:szCs w:val="24"/>
        </w:rPr>
        <w:t>2</w:t>
      </w:r>
      <w:r w:rsidR="00414F77">
        <w:rPr>
          <w:szCs w:val="24"/>
        </w:rPr>
        <w:t>5</w:t>
      </w:r>
      <w:r w:rsidRPr="00CF279F">
        <w:rPr>
          <w:szCs w:val="24"/>
        </w:rPr>
        <w:t>.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315"/>
        <w:gridCol w:w="4315"/>
      </w:tblGrid>
      <w:tr w:rsidR="00642D6D" w14:paraId="42DCCF17" w14:textId="77777777" w:rsidTr="00F71A0A">
        <w:tc>
          <w:tcPr>
            <w:tcW w:w="4315" w:type="dxa"/>
          </w:tcPr>
          <w:p w14:paraId="0B38D268" w14:textId="77777777" w:rsidR="00642D6D" w:rsidRDefault="00642D6D" w:rsidP="00096B38">
            <w:pPr>
              <w:contextualSpacing/>
              <w:rPr>
                <w:szCs w:val="24"/>
              </w:rPr>
            </w:pPr>
          </w:p>
        </w:tc>
        <w:tc>
          <w:tcPr>
            <w:tcW w:w="4315" w:type="dxa"/>
          </w:tcPr>
          <w:p w14:paraId="1DEC96EE" w14:textId="290487FB" w:rsidR="00642D6D" w:rsidRDefault="00A61A87" w:rsidP="00096B38">
            <w:pPr>
              <w:pBdr>
                <w:bottom w:val="single" w:sz="12" w:space="1" w:color="auto"/>
              </w:pBdr>
              <w:rPr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F6F0C9C" wp14:editId="138BAAEC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171450</wp:posOffset>
                  </wp:positionV>
                  <wp:extent cx="2068872" cy="49909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lliamson signatur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8872" cy="499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866F650" w14:textId="22DD90B0" w:rsidR="00BA1605" w:rsidRDefault="00BA1605" w:rsidP="00096B38">
            <w:pPr>
              <w:pBdr>
                <w:bottom w:val="single" w:sz="12" w:space="1" w:color="auto"/>
              </w:pBdr>
              <w:rPr>
                <w:szCs w:val="24"/>
              </w:rPr>
            </w:pPr>
          </w:p>
          <w:p w14:paraId="41042A56" w14:textId="77777777" w:rsidR="00BA1605" w:rsidRDefault="00BA1605" w:rsidP="00096B38">
            <w:pPr>
              <w:pBdr>
                <w:bottom w:val="single" w:sz="12" w:space="1" w:color="auto"/>
              </w:pBdr>
              <w:rPr>
                <w:szCs w:val="24"/>
              </w:rPr>
            </w:pPr>
          </w:p>
          <w:p w14:paraId="57D905D3" w14:textId="77777777" w:rsidR="00642D6D" w:rsidRDefault="00642D6D" w:rsidP="00096B38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Robert S. Highsmith, Jr. </w:t>
            </w:r>
          </w:p>
          <w:p w14:paraId="3BC14EA9" w14:textId="77777777" w:rsidR="00642D6D" w:rsidRDefault="00642D6D" w:rsidP="00096B38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State Bar of Georgia No. 352777</w:t>
            </w:r>
          </w:p>
          <w:p w14:paraId="01F38F87" w14:textId="77777777" w:rsidR="00642D6D" w:rsidRDefault="00642D6D" w:rsidP="00096B38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Lindsey Sciavicco Williamson</w:t>
            </w:r>
          </w:p>
          <w:p w14:paraId="77D5D142" w14:textId="77777777" w:rsidR="00642D6D" w:rsidRDefault="00642D6D" w:rsidP="00096B38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State Bar of Georgia No. 783366</w:t>
            </w:r>
          </w:p>
          <w:p w14:paraId="60C9B90D" w14:textId="77777777" w:rsidR="00642D6D" w:rsidRDefault="00642D6D" w:rsidP="00096B38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Holland &amp; Knight LLP</w:t>
            </w:r>
          </w:p>
          <w:p w14:paraId="35CD2408" w14:textId="77777777" w:rsidR="00642D6D" w:rsidRDefault="00642D6D" w:rsidP="00096B38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Regions Plaza, Suite 1800</w:t>
            </w:r>
          </w:p>
          <w:p w14:paraId="19EC077F" w14:textId="77777777" w:rsidR="00642D6D" w:rsidRDefault="00642D6D" w:rsidP="00096B38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1180 West Peachtree Street, N.W.</w:t>
            </w:r>
          </w:p>
          <w:p w14:paraId="0EE85CA5" w14:textId="77777777" w:rsidR="00642D6D" w:rsidRDefault="00642D6D" w:rsidP="00096B38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Atlanta, Georgia 30309</w:t>
            </w:r>
          </w:p>
          <w:p w14:paraId="0336E0B0" w14:textId="77777777" w:rsidR="00642D6D" w:rsidRDefault="00642D6D" w:rsidP="00096B38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Tel.: 404.817-8500</w:t>
            </w:r>
          </w:p>
          <w:p w14:paraId="6B5682FF" w14:textId="77777777" w:rsidR="00642D6D" w:rsidRDefault="00642D6D" w:rsidP="00096B38">
            <w:pPr>
              <w:contextualSpacing/>
              <w:rPr>
                <w:szCs w:val="24"/>
              </w:rPr>
            </w:pPr>
            <w:r w:rsidRPr="00F71A0A">
              <w:rPr>
                <w:szCs w:val="24"/>
              </w:rPr>
              <w:t>Robert.highsmith@hklaw.com</w:t>
            </w:r>
          </w:p>
          <w:p w14:paraId="70EC6048" w14:textId="77777777" w:rsidR="00642D6D" w:rsidRDefault="00642D6D" w:rsidP="00096B38">
            <w:pPr>
              <w:contextualSpacing/>
              <w:rPr>
                <w:szCs w:val="24"/>
              </w:rPr>
            </w:pPr>
            <w:r w:rsidRPr="00F71A0A">
              <w:rPr>
                <w:szCs w:val="24"/>
              </w:rPr>
              <w:t>Lindsey.williamson@hklaw.com</w:t>
            </w:r>
            <w:r>
              <w:rPr>
                <w:szCs w:val="24"/>
              </w:rPr>
              <w:t xml:space="preserve"> </w:t>
            </w:r>
          </w:p>
          <w:p w14:paraId="37368D70" w14:textId="3767E124" w:rsidR="00642D6D" w:rsidRDefault="00E37310" w:rsidP="00CF279F">
            <w:pPr>
              <w:spacing w:line="480" w:lineRule="auto"/>
              <w:rPr>
                <w:szCs w:val="24"/>
              </w:rPr>
            </w:pPr>
            <w:r w:rsidRPr="00F71A0A">
              <w:rPr>
                <w:i/>
                <w:szCs w:val="24"/>
              </w:rPr>
              <w:t>Counsel for Atlanta Gas Light Company</w:t>
            </w:r>
          </w:p>
        </w:tc>
      </w:tr>
    </w:tbl>
    <w:p w14:paraId="2C01712F" w14:textId="77777777" w:rsidR="004F4EAE" w:rsidRPr="00CF279F" w:rsidRDefault="004F4EAE" w:rsidP="00CF279F">
      <w:pPr>
        <w:spacing w:line="480" w:lineRule="auto"/>
        <w:rPr>
          <w:szCs w:val="24"/>
        </w:rPr>
      </w:pPr>
    </w:p>
    <w:p w14:paraId="4E5FEB05" w14:textId="77777777" w:rsidR="00C67FBD" w:rsidRPr="00CF279F" w:rsidRDefault="00C67FBD" w:rsidP="00C67FBD">
      <w:pPr>
        <w:spacing w:line="288" w:lineRule="auto"/>
        <w:rPr>
          <w:szCs w:val="24"/>
          <w:vertAlign w:val="superscript"/>
        </w:rPr>
      </w:pPr>
    </w:p>
    <w:p w14:paraId="50C7FB94" w14:textId="77777777" w:rsidR="00857A65" w:rsidRPr="00CF279F" w:rsidRDefault="00857A65" w:rsidP="00857A65">
      <w:pPr>
        <w:ind w:left="4320"/>
        <w:rPr>
          <w:szCs w:val="24"/>
        </w:rPr>
      </w:pPr>
    </w:p>
    <w:p w14:paraId="230B31A9" w14:textId="77777777" w:rsidR="00857A65" w:rsidRDefault="00857A65" w:rsidP="00857A65">
      <w:pPr>
        <w:ind w:left="4320"/>
      </w:pPr>
    </w:p>
    <w:p w14:paraId="2E090AA3" w14:textId="77777777" w:rsidR="000F029D" w:rsidRDefault="000F029D" w:rsidP="00857A65">
      <w:pPr>
        <w:sectPr w:rsidR="000F029D" w:rsidSect="009E20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260" w:right="1800" w:bottom="1440" w:left="1800" w:header="720" w:footer="576" w:gutter="0"/>
          <w:cols w:space="720"/>
          <w:docGrid w:linePitch="360"/>
        </w:sectPr>
      </w:pPr>
    </w:p>
    <w:p w14:paraId="2BE9E04A" w14:textId="77777777" w:rsidR="005D70CC" w:rsidRDefault="005D70CC" w:rsidP="005D70CC">
      <w:pPr>
        <w:pStyle w:val="BlockText"/>
        <w:spacing w:after="0"/>
        <w:jc w:val="center"/>
      </w:pPr>
      <w:r>
        <w:lastRenderedPageBreak/>
        <w:t>PUBLIC DISCLOSURE DOCUMENT</w:t>
      </w:r>
    </w:p>
    <w:p w14:paraId="464E3EE4" w14:textId="77777777" w:rsidR="005D70CC" w:rsidRDefault="005D70CC" w:rsidP="005D70CC">
      <w:pPr>
        <w:pStyle w:val="BlockText"/>
        <w:spacing w:after="0"/>
        <w:jc w:val="center"/>
      </w:pPr>
      <w:r>
        <w:t>FOR THE</w:t>
      </w:r>
    </w:p>
    <w:p w14:paraId="42CF79A9" w14:textId="77777777" w:rsidR="005D70CC" w:rsidRDefault="005D70CC" w:rsidP="005D70CC">
      <w:pPr>
        <w:pStyle w:val="BlockText"/>
        <w:spacing w:after="0"/>
        <w:jc w:val="center"/>
      </w:pPr>
      <w:r>
        <w:t>TRADE SECRET FILING OF ATLANTA GAS LIGHT COMPANY</w:t>
      </w:r>
    </w:p>
    <w:p w14:paraId="2C7B1127" w14:textId="77777777" w:rsidR="005D70CC" w:rsidRDefault="005D70CC" w:rsidP="005D70CC">
      <w:pPr>
        <w:pStyle w:val="BlockText"/>
        <w:spacing w:after="0"/>
        <w:jc w:val="center"/>
      </w:pPr>
    </w:p>
    <w:p w14:paraId="084DC6F5" w14:textId="77777777" w:rsidR="005D70CC" w:rsidRDefault="005D70CC" w:rsidP="005D70CC">
      <w:pPr>
        <w:pStyle w:val="BlockText"/>
        <w:spacing w:after="0"/>
        <w:jc w:val="center"/>
      </w:pPr>
      <w:r>
        <w:t>Atlanta Gas Light Company</w:t>
      </w:r>
    </w:p>
    <w:p w14:paraId="2AD66AEA" w14:textId="7974C5F9" w:rsidR="005D70CC" w:rsidRDefault="005D70CC" w:rsidP="005D70CC">
      <w:pPr>
        <w:pStyle w:val="BlockText"/>
        <w:spacing w:after="0"/>
        <w:jc w:val="center"/>
      </w:pPr>
      <w:r>
        <w:t>Docket No</w:t>
      </w:r>
      <w:r w:rsidR="00414F77">
        <w:t>. 56177</w:t>
      </w:r>
    </w:p>
    <w:p w14:paraId="7ED0588A" w14:textId="0C38E1F7" w:rsidR="005D70CC" w:rsidRDefault="005D70CC" w:rsidP="005D70CC">
      <w:pPr>
        <w:pStyle w:val="BlockText"/>
        <w:spacing w:after="0"/>
        <w:jc w:val="center"/>
      </w:pPr>
      <w:r>
        <w:t xml:space="preserve">Atlanta Gas Light Company’s </w:t>
      </w:r>
      <w:r w:rsidR="009C466A">
        <w:t>202</w:t>
      </w:r>
      <w:r w:rsidR="00414F77">
        <w:t>5</w:t>
      </w:r>
      <w:r w:rsidR="009C466A">
        <w:t>-202</w:t>
      </w:r>
      <w:r w:rsidR="00414F77">
        <w:t>8</w:t>
      </w:r>
      <w:r>
        <w:t xml:space="preserve"> Capacity Supply Plan</w:t>
      </w:r>
    </w:p>
    <w:p w14:paraId="19E1958E" w14:textId="77777777" w:rsidR="005D70CC" w:rsidRDefault="005D70CC" w:rsidP="005D70CC">
      <w:pPr>
        <w:pStyle w:val="BlockText"/>
        <w:spacing w:after="0"/>
        <w:jc w:val="center"/>
      </w:pPr>
    </w:p>
    <w:p w14:paraId="7E331FF4" w14:textId="7E0EF882" w:rsidR="005D70CC" w:rsidRDefault="00D06B2E" w:rsidP="005D70CC">
      <w:pPr>
        <w:pStyle w:val="BlockText"/>
        <w:ind w:left="1440" w:right="1440"/>
        <w:jc w:val="both"/>
      </w:pPr>
      <w:r>
        <w:t>Atlanta Gas Light Company filed herewith documents that contain trade secret information.  Atlanta Gas Light Company is filing this document as the public disclosure document</w:t>
      </w:r>
      <w:r w:rsidR="005D70CC">
        <w:t>.</w:t>
      </w:r>
    </w:p>
    <w:sectPr w:rsidR="005D70CC" w:rsidSect="009740C0">
      <w:footerReference w:type="default" r:id="rId14"/>
      <w:pgSz w:w="12240" w:h="15840"/>
      <w:pgMar w:top="1440" w:right="1800" w:bottom="1440" w:left="1800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B3B1E" w14:textId="77777777" w:rsidR="00F44981" w:rsidRDefault="00F44981">
      <w:r>
        <w:separator/>
      </w:r>
    </w:p>
  </w:endnote>
  <w:endnote w:type="continuationSeparator" w:id="0">
    <w:p w14:paraId="0837B935" w14:textId="77777777" w:rsidR="00F44981" w:rsidRDefault="00F4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97D48" w14:textId="77777777" w:rsidR="00CF1701" w:rsidRDefault="00CF17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1BF86" w14:textId="77777777" w:rsidR="009E20F9" w:rsidRDefault="009E20F9" w:rsidP="00C64F2D">
    <w:pPr>
      <w:tabs>
        <w:tab w:val="center" w:pos="4320"/>
        <w:tab w:val="right" w:pos="8640"/>
      </w:tabs>
      <w:jc w:val="both"/>
    </w:pPr>
  </w:p>
  <w:p w14:paraId="47BD520B" w14:textId="77777777" w:rsidR="009E20F9" w:rsidRDefault="009E20F9" w:rsidP="00C64F2D">
    <w:pPr>
      <w:tabs>
        <w:tab w:val="center" w:pos="4320"/>
        <w:tab w:val="right" w:pos="8640"/>
      </w:tabs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47C4" w14:textId="77777777" w:rsidR="00CF1701" w:rsidRDefault="00CF170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BF676" w14:textId="77777777" w:rsidR="00850342" w:rsidRPr="00CF279F" w:rsidRDefault="00850342" w:rsidP="00CF27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AF64B" w14:textId="77777777" w:rsidR="00F44981" w:rsidRDefault="00F44981">
      <w:r>
        <w:separator/>
      </w:r>
    </w:p>
  </w:footnote>
  <w:footnote w:type="continuationSeparator" w:id="0">
    <w:p w14:paraId="4CB7649A" w14:textId="77777777" w:rsidR="00F44981" w:rsidRDefault="00F44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8EC9" w14:textId="77777777" w:rsidR="00CF1701" w:rsidRDefault="00CF17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F99D5" w14:textId="77777777" w:rsidR="00CF1701" w:rsidRDefault="00CF17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CCFF" w14:textId="77777777" w:rsidR="00CF1701" w:rsidRDefault="00CF17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857A65"/>
    <w:rsid w:val="00004ABD"/>
    <w:rsid w:val="00053A50"/>
    <w:rsid w:val="000738CF"/>
    <w:rsid w:val="00096B38"/>
    <w:rsid w:val="000D0157"/>
    <w:rsid w:val="000E0D4C"/>
    <w:rsid w:val="000E11D1"/>
    <w:rsid w:val="000F029D"/>
    <w:rsid w:val="001109FA"/>
    <w:rsid w:val="00142BE0"/>
    <w:rsid w:val="00170753"/>
    <w:rsid w:val="001709FF"/>
    <w:rsid w:val="00176752"/>
    <w:rsid w:val="00181DCC"/>
    <w:rsid w:val="00197C5A"/>
    <w:rsid w:val="001C070D"/>
    <w:rsid w:val="001D33B9"/>
    <w:rsid w:val="00200A6A"/>
    <w:rsid w:val="00203073"/>
    <w:rsid w:val="0020785C"/>
    <w:rsid w:val="002255DA"/>
    <w:rsid w:val="00237962"/>
    <w:rsid w:val="002A0856"/>
    <w:rsid w:val="002C6D03"/>
    <w:rsid w:val="002E01D3"/>
    <w:rsid w:val="002E1873"/>
    <w:rsid w:val="002E5932"/>
    <w:rsid w:val="002F12DE"/>
    <w:rsid w:val="00303AD9"/>
    <w:rsid w:val="00322CF1"/>
    <w:rsid w:val="003344BB"/>
    <w:rsid w:val="00334DE2"/>
    <w:rsid w:val="00337691"/>
    <w:rsid w:val="0034126B"/>
    <w:rsid w:val="0035248B"/>
    <w:rsid w:val="00414678"/>
    <w:rsid w:val="00414F77"/>
    <w:rsid w:val="0043507C"/>
    <w:rsid w:val="00450E0B"/>
    <w:rsid w:val="0046467D"/>
    <w:rsid w:val="00471B85"/>
    <w:rsid w:val="004A33EC"/>
    <w:rsid w:val="004D607B"/>
    <w:rsid w:val="004E45F6"/>
    <w:rsid w:val="004E4900"/>
    <w:rsid w:val="004F2AF5"/>
    <w:rsid w:val="004F4EAE"/>
    <w:rsid w:val="005319DA"/>
    <w:rsid w:val="00543C8E"/>
    <w:rsid w:val="00547AE0"/>
    <w:rsid w:val="0055752E"/>
    <w:rsid w:val="00560EE9"/>
    <w:rsid w:val="00582977"/>
    <w:rsid w:val="00590219"/>
    <w:rsid w:val="005C0198"/>
    <w:rsid w:val="005C1D05"/>
    <w:rsid w:val="005D70CC"/>
    <w:rsid w:val="00642D6D"/>
    <w:rsid w:val="006643E6"/>
    <w:rsid w:val="006A184E"/>
    <w:rsid w:val="006A4C4A"/>
    <w:rsid w:val="006C755B"/>
    <w:rsid w:val="006E68AD"/>
    <w:rsid w:val="006F113F"/>
    <w:rsid w:val="00706252"/>
    <w:rsid w:val="00710BE5"/>
    <w:rsid w:val="0072601A"/>
    <w:rsid w:val="007318E1"/>
    <w:rsid w:val="00762BD1"/>
    <w:rsid w:val="007B6DE5"/>
    <w:rsid w:val="007C2A4D"/>
    <w:rsid w:val="007C50F3"/>
    <w:rsid w:val="007C6075"/>
    <w:rsid w:val="007F31AF"/>
    <w:rsid w:val="007F6D93"/>
    <w:rsid w:val="008322D3"/>
    <w:rsid w:val="00846A4B"/>
    <w:rsid w:val="00850342"/>
    <w:rsid w:val="00857A65"/>
    <w:rsid w:val="00883AB0"/>
    <w:rsid w:val="00895168"/>
    <w:rsid w:val="008A0082"/>
    <w:rsid w:val="008A3E4C"/>
    <w:rsid w:val="008A66A2"/>
    <w:rsid w:val="008B234B"/>
    <w:rsid w:val="008B52C9"/>
    <w:rsid w:val="008D017D"/>
    <w:rsid w:val="008D6125"/>
    <w:rsid w:val="009416A5"/>
    <w:rsid w:val="00945940"/>
    <w:rsid w:val="00946334"/>
    <w:rsid w:val="00947078"/>
    <w:rsid w:val="009740C0"/>
    <w:rsid w:val="00987AC6"/>
    <w:rsid w:val="009940A5"/>
    <w:rsid w:val="00996E3C"/>
    <w:rsid w:val="009C1945"/>
    <w:rsid w:val="009C466A"/>
    <w:rsid w:val="009D504C"/>
    <w:rsid w:val="009E20F9"/>
    <w:rsid w:val="00A028DE"/>
    <w:rsid w:val="00A160D3"/>
    <w:rsid w:val="00A61A87"/>
    <w:rsid w:val="00A62A33"/>
    <w:rsid w:val="00A67EAC"/>
    <w:rsid w:val="00A74C6E"/>
    <w:rsid w:val="00A836F8"/>
    <w:rsid w:val="00A97CBC"/>
    <w:rsid w:val="00AA62EF"/>
    <w:rsid w:val="00AB0791"/>
    <w:rsid w:val="00AD3830"/>
    <w:rsid w:val="00B13C75"/>
    <w:rsid w:val="00B24C69"/>
    <w:rsid w:val="00B41A0E"/>
    <w:rsid w:val="00BA1605"/>
    <w:rsid w:val="00BA16BF"/>
    <w:rsid w:val="00BA3A63"/>
    <w:rsid w:val="00BA6DB5"/>
    <w:rsid w:val="00BB04D7"/>
    <w:rsid w:val="00BB6D1A"/>
    <w:rsid w:val="00BE52BE"/>
    <w:rsid w:val="00C10291"/>
    <w:rsid w:val="00C41C93"/>
    <w:rsid w:val="00C64F2D"/>
    <w:rsid w:val="00C67FBD"/>
    <w:rsid w:val="00C86582"/>
    <w:rsid w:val="00CC0BC3"/>
    <w:rsid w:val="00CC431D"/>
    <w:rsid w:val="00CE01DE"/>
    <w:rsid w:val="00CF1701"/>
    <w:rsid w:val="00CF279F"/>
    <w:rsid w:val="00D06B2E"/>
    <w:rsid w:val="00D15100"/>
    <w:rsid w:val="00D16A8F"/>
    <w:rsid w:val="00D40AC4"/>
    <w:rsid w:val="00D40EA4"/>
    <w:rsid w:val="00D4576E"/>
    <w:rsid w:val="00D55DC2"/>
    <w:rsid w:val="00D65A97"/>
    <w:rsid w:val="00D84496"/>
    <w:rsid w:val="00D9330E"/>
    <w:rsid w:val="00DB28B8"/>
    <w:rsid w:val="00DB329C"/>
    <w:rsid w:val="00DD1398"/>
    <w:rsid w:val="00DD499D"/>
    <w:rsid w:val="00DD6B96"/>
    <w:rsid w:val="00DE787B"/>
    <w:rsid w:val="00E051B5"/>
    <w:rsid w:val="00E27D69"/>
    <w:rsid w:val="00E37310"/>
    <w:rsid w:val="00E37E7B"/>
    <w:rsid w:val="00E41F5E"/>
    <w:rsid w:val="00E45303"/>
    <w:rsid w:val="00E76FCB"/>
    <w:rsid w:val="00EC44FE"/>
    <w:rsid w:val="00F10189"/>
    <w:rsid w:val="00F31B86"/>
    <w:rsid w:val="00F44981"/>
    <w:rsid w:val="00F61C52"/>
    <w:rsid w:val="00F71A0A"/>
    <w:rsid w:val="00F82818"/>
    <w:rsid w:val="00F9634D"/>
    <w:rsid w:val="00FA33D1"/>
    <w:rsid w:val="00FB57A2"/>
    <w:rsid w:val="00FE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57E256C0"/>
  <w15:chartTrackingRefBased/>
  <w15:docId w15:val="{64BBA34E-60BB-4AD6-9536-19B4D1B42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lock Text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7A65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857A65"/>
    <w:rPr>
      <w:sz w:val="20"/>
    </w:rPr>
  </w:style>
  <w:style w:type="character" w:styleId="FootnoteReference">
    <w:name w:val="footnote reference"/>
    <w:basedOn w:val="DefaultParagraphFont"/>
    <w:semiHidden/>
    <w:rsid w:val="00857A65"/>
    <w:rPr>
      <w:vertAlign w:val="superscript"/>
    </w:rPr>
  </w:style>
  <w:style w:type="paragraph" w:styleId="Footer">
    <w:name w:val="footer"/>
    <w:basedOn w:val="Normal"/>
    <w:link w:val="FooterChar"/>
    <w:uiPriority w:val="99"/>
    <w:rsid w:val="00857A6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57A65"/>
  </w:style>
  <w:style w:type="paragraph" w:styleId="Header">
    <w:name w:val="header"/>
    <w:basedOn w:val="Normal"/>
    <w:link w:val="HeaderChar"/>
    <w:rsid w:val="000F0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029D"/>
    <w:rPr>
      <w:sz w:val="24"/>
    </w:rPr>
  </w:style>
  <w:style w:type="table" w:styleId="TableGrid">
    <w:name w:val="Table Grid"/>
    <w:basedOn w:val="TableNormal"/>
    <w:uiPriority w:val="59"/>
    <w:rsid w:val="000F02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7C2A4D"/>
    <w:rPr>
      <w:sz w:val="24"/>
    </w:rPr>
  </w:style>
  <w:style w:type="paragraph" w:styleId="BalloonText">
    <w:name w:val="Balloon Text"/>
    <w:basedOn w:val="Normal"/>
    <w:link w:val="BalloonTextChar"/>
    <w:rsid w:val="00996E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96E3C"/>
    <w:rPr>
      <w:rFonts w:ascii="Segoe UI" w:hAnsi="Segoe UI" w:cs="Segoe UI"/>
      <w:sz w:val="18"/>
      <w:szCs w:val="18"/>
    </w:rPr>
  </w:style>
  <w:style w:type="paragraph" w:styleId="BlockText">
    <w:name w:val="Block Text"/>
    <w:basedOn w:val="Normal"/>
    <w:qFormat/>
    <w:rsid w:val="005D70CC"/>
    <w:pPr>
      <w:spacing w:after="240"/>
    </w:pPr>
    <w:rPr>
      <w:rFonts w:eastAsiaTheme="minorEastAsia" w:cstheme="minorBidi"/>
      <w:iCs/>
      <w:szCs w:val="24"/>
    </w:rPr>
  </w:style>
  <w:style w:type="character" w:styleId="Hyperlink">
    <w:name w:val="Hyperlink"/>
    <w:basedOn w:val="DefaultParagraphFont"/>
    <w:rsid w:val="00642D6D"/>
    <w:rPr>
      <w:color w:val="0563C1" w:themeColor="hyperlink"/>
      <w:u w:val="single"/>
    </w:rPr>
  </w:style>
  <w:style w:type="paragraph" w:customStyle="1" w:styleId="DocID">
    <w:name w:val="DocID"/>
    <w:basedOn w:val="Normal"/>
    <w:next w:val="Normal"/>
    <w:link w:val="DocIDChar"/>
    <w:rsid w:val="00642D6D"/>
    <w:rPr>
      <w:color w:val="000000"/>
      <w:sz w:val="18"/>
      <w:szCs w:val="16"/>
    </w:rPr>
  </w:style>
  <w:style w:type="character" w:customStyle="1" w:styleId="DocIDChar">
    <w:name w:val="DocID Char"/>
    <w:basedOn w:val="DefaultParagraphFont"/>
    <w:link w:val="DocID"/>
    <w:rsid w:val="00642D6D"/>
    <w:rPr>
      <w:color w:val="000000"/>
      <w:sz w:val="18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6A4C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A4C4A"/>
    <w:rPr>
      <w:sz w:val="24"/>
    </w:rPr>
  </w:style>
  <w:style w:type="paragraph" w:customStyle="1" w:styleId="p3">
    <w:name w:val="p3"/>
    <w:basedOn w:val="Normal"/>
    <w:rsid w:val="00DB28B8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</w:pPr>
    <w:rPr>
      <w:szCs w:val="24"/>
    </w:rPr>
  </w:style>
  <w:style w:type="paragraph" w:styleId="BodyText">
    <w:name w:val="Body Text"/>
    <w:basedOn w:val="Normal"/>
    <w:link w:val="BodyTextChar"/>
    <w:rsid w:val="009C466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C466A"/>
    <w:rPr>
      <w:sz w:val="24"/>
    </w:rPr>
  </w:style>
  <w:style w:type="character" w:styleId="CommentReference">
    <w:name w:val="annotation reference"/>
    <w:basedOn w:val="DefaultParagraphFont"/>
    <w:rsid w:val="00414F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4F7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14F77"/>
  </w:style>
  <w:style w:type="paragraph" w:styleId="CommentSubject">
    <w:name w:val="annotation subject"/>
    <w:basedOn w:val="CommentText"/>
    <w:next w:val="CommentText"/>
    <w:link w:val="CommentSubjectChar"/>
    <w:rsid w:val="00414F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4F77"/>
    <w:rPr>
      <w:b/>
      <w:bCs/>
    </w:rPr>
  </w:style>
  <w:style w:type="paragraph" w:styleId="Revision">
    <w:name w:val="Revision"/>
    <w:hidden/>
    <w:uiPriority w:val="99"/>
    <w:semiHidden/>
    <w:rsid w:val="00D06B2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762917B-CC8C-4F95-AC56-761CA4E64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Mark Caudill</dc:creator>
  <cp:keywords/>
  <dc:description/>
  <cp:lastModifiedBy>_</cp:lastModifiedBy>
  <cp:revision>17</cp:revision>
  <cp:lastPrinted>2016-06-30T12:57:00Z</cp:lastPrinted>
  <dcterms:created xsi:type="dcterms:W3CDTF">2022-06-16T20:36:00Z</dcterms:created>
  <dcterms:modified xsi:type="dcterms:W3CDTF">2025-07-01T17:03:00Z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Number">
    <vt:lpwstr>522175326</vt:lpwstr>
  </property>
  <property fmtid="{D5CDD505-2E9C-101B-9397-08002B2CF9AE}" pid="3" name="DocumentVersion">
    <vt:lpwstr>1</vt:lpwstr>
  </property>
  <property fmtid="{D5CDD505-2E9C-101B-9397-08002B2CF9AE}" pid="4" name="ClientNumber">
    <vt:lpwstr>137785</vt:lpwstr>
  </property>
  <property fmtid="{D5CDD505-2E9C-101B-9397-08002B2CF9AE}" pid="5" name="MatterNumber">
    <vt:lpwstr>00066</vt:lpwstr>
  </property>
  <property fmtid="{D5CDD505-2E9C-101B-9397-08002B2CF9AE}" pid="6" name="ClientName">
    <vt:lpwstr>Southern Company Gas</vt:lpwstr>
  </property>
  <property fmtid="{D5CDD505-2E9C-101B-9397-08002B2CF9AE}" pid="7" name="MatterName">
    <vt:lpwstr>2025 Capacity Supply Plan</vt:lpwstr>
  </property>
  <property fmtid="{D5CDD505-2E9C-101B-9397-08002B2CF9AE}" pid="8" name="DatabaseName">
    <vt:lpwstr>ACTIVE</vt:lpwstr>
  </property>
  <property fmtid="{D5CDD505-2E9C-101B-9397-08002B2CF9AE}" pid="9" name="TypistName">
    <vt:lpwstr>CMSTEELE</vt:lpwstr>
  </property>
  <property fmtid="{D5CDD505-2E9C-101B-9397-08002B2CF9AE}" pid="10" name="AuthorName">
    <vt:lpwstr>CMSTEELE</vt:lpwstr>
  </property>
  <property fmtid="{D5CDD505-2E9C-101B-9397-08002B2CF9AE}" pid="11" name="InUseBy">
    <vt:lpwstr>LBSCIAVICCO</vt:lpwstr>
  </property>
  <property fmtid="{D5CDD505-2E9C-101B-9397-08002B2CF9AE}" pid="12" name="EditDate">
    <vt:lpwstr>6/23/2025 8:52:32 PM</vt:lpwstr>
  </property>
  <property fmtid="{D5CDD505-2E9C-101B-9397-08002B2CF9AE}" pid="13" name="EditTime">
    <vt:lpwstr/>
  </property>
  <property fmtid="{D5CDD505-2E9C-101B-9397-08002B2CF9AE}" pid="14" name="IsiManageWork">
    <vt:lpwstr>True</vt:lpwstr>
  </property>
</Properties>
</file>